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FA592F" w:rsidP="00207827">
            <w:pPr>
              <w:framePr w:hSpace="180" w:wrap="auto" w:vAnchor="page" w:hAnchor="margin" w:x="358" w:y="905"/>
              <w:rPr>
                <w:sz w:val="24"/>
                <w:szCs w:val="24"/>
              </w:rPr>
            </w:pPr>
            <w:r>
              <w:rPr>
                <w:sz w:val="24"/>
                <w:szCs w:val="24"/>
              </w:rPr>
              <w:t>Г</w:t>
            </w:r>
            <w:r w:rsidR="00AD7AEA" w:rsidRPr="00207827">
              <w:rPr>
                <w:sz w:val="24"/>
                <w:szCs w:val="24"/>
              </w:rPr>
              <w:t>енеральн</w:t>
            </w:r>
            <w:r w:rsidR="00F013EC">
              <w:rPr>
                <w:sz w:val="24"/>
                <w:szCs w:val="24"/>
              </w:rPr>
              <w:t xml:space="preserve">ый </w:t>
            </w:r>
            <w:r w:rsidR="00AD7AEA" w:rsidRPr="00207827">
              <w:rPr>
                <w:sz w:val="24"/>
                <w:szCs w:val="24"/>
              </w:rPr>
              <w:t xml:space="preserve">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F013EC">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AA0159" w:rsidRPr="00664B66" w:rsidRDefault="00AA0159" w:rsidP="00AA0159">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 xml:space="preserve"> </w:t>
      </w:r>
      <w:r w:rsidR="00F013EC">
        <w:rPr>
          <w:b/>
          <w:sz w:val="24"/>
          <w:szCs w:val="24"/>
        </w:rPr>
        <w:t>10</w:t>
      </w:r>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Pr>
          <w:b/>
          <w:sz w:val="24"/>
          <w:szCs w:val="24"/>
        </w:rPr>
        <w:t>Атлант</w:t>
      </w:r>
      <w:r w:rsidRPr="004C4973">
        <w:rPr>
          <w:b/>
          <w:sz w:val="24"/>
          <w:szCs w:val="24"/>
        </w:rPr>
        <w:t>»</w:t>
      </w:r>
    </w:p>
    <w:p w:rsidR="00AA0159" w:rsidRPr="004C4973" w:rsidRDefault="00AA0159" w:rsidP="00AA0159">
      <w:pPr>
        <w:ind w:left="360"/>
        <w:jc w:val="center"/>
        <w:rPr>
          <w:b/>
          <w:sz w:val="24"/>
          <w:szCs w:val="24"/>
        </w:rPr>
      </w:pPr>
    </w:p>
    <w:p w:rsidR="00AA0159" w:rsidRPr="00664B66" w:rsidRDefault="00AA0159" w:rsidP="00AA0159">
      <w:pPr>
        <w:ind w:left="360"/>
        <w:rPr>
          <w:sz w:val="24"/>
          <w:szCs w:val="24"/>
        </w:rPr>
      </w:pPr>
    </w:p>
    <w:p w:rsidR="00AA0159" w:rsidRPr="00664B66" w:rsidRDefault="00AA0159" w:rsidP="00AA0159">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57093220"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093221"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093222"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57093223"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57093224"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093225"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57093226"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57093227"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093228"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093229"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093230"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57093231"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3" type="#_x0000_t75" style="width:54.15pt;height:32.25pt" o:ole="">
                  <v:imagedata r:id="rId34" o:title=""/>
                </v:shape>
                <o:OLEObject Type="Embed" ProgID="Equation.3" ShapeID="_x0000_i1073" DrawAspect="Content" ObjectID="_1657093232"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7" type="#_x0000_t75" style="width:12.65pt;height:18.45pt" o:ole="">
            <v:imagedata r:id="rId36" o:title=""/>
          </v:shape>
          <o:OLEObject Type="Embed" ProgID="Equation.3" ShapeID="_x0000_i1037" DrawAspect="Content" ObjectID="_1657093233" r:id="rId37"/>
        </w:object>
      </w:r>
      <w:r w:rsidRPr="00207827">
        <w:rPr>
          <w:rFonts w:eastAsia="Batang"/>
          <w:color w:val="000000"/>
          <w:szCs w:val="24"/>
        </w:rPr>
        <w:t xml:space="preserve"> и </w:t>
      </w:r>
      <w:r w:rsidRPr="00207827">
        <w:rPr>
          <w:rFonts w:eastAsia="Batang"/>
          <w:color w:val="000000"/>
          <w:szCs w:val="24"/>
        </w:rPr>
        <w:object w:dxaOrig="840" w:dyaOrig="360">
          <v:shape id="_x0000_i1038" type="#_x0000_t75" style="width:42.6pt;height:18.45pt" o:ole="">
            <v:imagedata r:id="rId38" o:title=""/>
          </v:shape>
          <o:OLEObject Type="Embed" ProgID="Equation.3" ShapeID="_x0000_i1038" DrawAspect="Content" ObjectID="_1657093234"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39" type="#_x0000_t75" style="width:221.75pt;height:51.85pt" o:ole="">
            <v:imagedata r:id="rId40" o:title=""/>
          </v:shape>
          <o:OLEObject Type="Embed" ProgID="Equation.3" ShapeID="_x0000_i1039" DrawAspect="Content" ObjectID="_1657093235"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0" type="#_x0000_t75" style="width:13.8pt;height:18.45pt" o:ole="">
            <v:imagedata r:id="rId42" o:title=""/>
          </v:shape>
          <o:OLEObject Type="Embed" ProgID="Equation.3" ShapeID="_x0000_i1040" DrawAspect="Content" ObjectID="_1657093236"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1" type="#_x0000_t75" style="width:12.65pt;height:18.45pt" o:ole="">
            <v:imagedata r:id="rId44" o:title=""/>
          </v:shape>
          <o:OLEObject Type="Embed" ProgID="Equation.3" ShapeID="_x0000_i1041" DrawAspect="Content" ObjectID="_1657093237"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2" type="#_x0000_t75" style="width:12.65pt;height:12.65pt" o:ole="">
            <v:imagedata r:id="rId14" o:title=""/>
          </v:shape>
          <o:OLEObject Type="Embed" ProgID="Equation.3" ShapeID="_x0000_i1042" DrawAspect="Content" ObjectID="_1657093238"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7" o:title=""/>
          </v:shape>
          <o:OLEObject Type="Embed" ProgID="Equation.3" ShapeID="_x0000_i1043" DrawAspect="Content" ObjectID="_1657093239"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4" type="#_x0000_t75" style="width:12.65pt;height:18.45pt" o:ole="">
            <v:imagedata r:id="rId44" o:title=""/>
          </v:shape>
          <o:OLEObject Type="Embed" ProgID="Equation.3" ShapeID="_x0000_i1044" DrawAspect="Content" ObjectID="_1657093240"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57093241"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57093242"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7" type="#_x0000_t75" style="width:29.95pt;height:18.45pt" o:ole="">
            <v:imagedata r:id="rId52" o:title=""/>
          </v:shape>
          <o:OLEObject Type="Embed" ProgID="Equation.3" ShapeID="_x0000_i1047" DrawAspect="Content" ObjectID="_1657093243"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48" type="#_x0000_t75" style="width:42.6pt;height:17.3pt" o:ole="">
            <v:imagedata r:id="rId54" o:title=""/>
          </v:shape>
          <o:OLEObject Type="Embed" ProgID="Equation.3" ShapeID="_x0000_i1048" DrawAspect="Content" ObjectID="_1657093244"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49" type="#_x0000_t75" style="width:12.65pt;height:18.45pt" o:ole="">
            <v:imagedata r:id="rId44" o:title=""/>
          </v:shape>
          <o:OLEObject Type="Embed" ProgID="Equation.3" ShapeID="_x0000_i1049" DrawAspect="Content" ObjectID="_1657093245"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0" type="#_x0000_t75" style="width:382.45pt;height:130.75pt" o:ole="">
            <v:imagedata r:id="rId57" o:title=""/>
          </v:shape>
          <o:OLEObject Type="Embed" ProgID="Equation.3" ShapeID="_x0000_i1050" DrawAspect="Content" ObjectID="_1657093246"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1" type="#_x0000_t75" style="width:50.1pt;height:18.45pt" o:ole="">
            <v:imagedata r:id="rId59" o:title=""/>
          </v:shape>
          <o:OLEObject Type="Embed" ProgID="Equation.3" ShapeID="_x0000_i1051" DrawAspect="Content" ObjectID="_1657093247"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2" type="#_x0000_t75" style="width:25.35pt;height:18.45pt" o:ole="">
            <v:imagedata r:id="rId61" o:title=""/>
          </v:shape>
          <o:OLEObject Type="Embed" ProgID="Equation.3" ShapeID="_x0000_i1052" DrawAspect="Content" ObjectID="_1657093248"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3" type="#_x0000_t75" style="width:29.95pt;height:32.85pt" o:ole="">
            <v:imagedata r:id="rId63" o:title=""/>
          </v:shape>
          <o:OLEObject Type="Embed" ProgID="Equation.3" ShapeID="_x0000_i1053" DrawAspect="Content" ObjectID="_1657093249"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4" type="#_x0000_t75" style="width:10.35pt;height:9.2pt" o:ole="">
            <v:imagedata r:id="rId26" o:title=""/>
          </v:shape>
          <o:OLEObject Type="Embed" ProgID="Equation.3" ShapeID="_x0000_i1054" DrawAspect="Content" ObjectID="_1657093250"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5" type="#_x0000_t75" style="width:25.35pt;height:21.9pt" o:ole="">
            <v:imagedata r:id="rId28" o:title=""/>
          </v:shape>
          <o:OLEObject Type="Embed" ProgID="Equation.3" ShapeID="_x0000_i1055" DrawAspect="Content" ObjectID="_1657093251"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6" type="#_x0000_t75" style="width:12.65pt;height:18.45pt" o:ole="">
            <v:imagedata r:id="rId47" o:title=""/>
          </v:shape>
          <o:OLEObject Type="Embed" ProgID="Equation.3" ShapeID="_x0000_i1056" DrawAspect="Content" ObjectID="_1657093252"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7" type="#_x0000_t75" style="width:25.35pt;height:25.35pt" o:ole="">
            <v:imagedata r:id="rId30" o:title=""/>
          </v:shape>
          <o:OLEObject Type="Embed" ProgID="Equation.3" ShapeID="_x0000_i1057" DrawAspect="Content" ObjectID="_1657093253"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57093254"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59" type="#_x0000_t75" style="width:13.8pt;height:18.45pt" o:ole="">
            <v:imagedata r:id="rId32" o:title=""/>
          </v:shape>
          <o:OLEObject Type="Embed" ProgID="Equation.3" ShapeID="_x0000_i1059" DrawAspect="Content" ObjectID="_1657093255"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57093256"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1" type="#_x0000_t75" style="width:16.7pt;height:18.45pt" o:ole="">
            <v:imagedata r:id="rId72" o:title=""/>
          </v:shape>
          <o:OLEObject Type="Embed" ProgID="Equation.3" ShapeID="_x0000_i1061" DrawAspect="Content" ObjectID="_1657093257"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2" type="#_x0000_t75" style="width:13.8pt;height:18.45pt" o:ole="">
            <v:imagedata r:id="rId32" o:title=""/>
          </v:shape>
          <o:OLEObject Type="Embed" ProgID="Equation.3" ShapeID="_x0000_i1062" DrawAspect="Content" ObjectID="_1657093258"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3" type="#_x0000_t75" style="width:12.65pt;height:18.45pt" o:ole="">
            <v:imagedata r:id="rId47" o:title=""/>
          </v:shape>
          <o:OLEObject Type="Embed" ProgID="Equation.3" ShapeID="_x0000_i1063" DrawAspect="Content" ObjectID="_1657093259" r:id="rId75"/>
        </w:object>
      </w:r>
      <w:r w:rsidRPr="00207827">
        <w:rPr>
          <w:rFonts w:eastAsia="Batang"/>
          <w:color w:val="000000"/>
          <w:szCs w:val="24"/>
        </w:rPr>
        <w:t xml:space="preserve">, где </w:t>
      </w:r>
      <w:r w:rsidRPr="00207827">
        <w:rPr>
          <w:rFonts w:eastAsia="Batang"/>
          <w:color w:val="000000"/>
          <w:szCs w:val="24"/>
        </w:rPr>
        <w:object w:dxaOrig="1040" w:dyaOrig="680">
          <v:shape id="_x0000_i1064" type="#_x0000_t75" style="width:51.85pt;height:32.85pt" o:ole="">
            <v:imagedata r:id="rId76" o:title=""/>
          </v:shape>
          <o:OLEObject Type="Embed" ProgID="Equation.3" ShapeID="_x0000_i1064" DrawAspect="Content" ObjectID="_1657093260"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5" type="#_x0000_t75" style="width:133.65pt;height:65.65pt" o:ole="">
              <v:imagedata r:id="rId78" o:title=""/>
            </v:shape>
            <o:OLEObject Type="Embed" ProgID="Equation.3" ShapeID="_x0000_i1065" DrawAspect="Content" ObjectID="_1657093261"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4" type="#_x0000_t75" style="width:133.65pt;height:63.35pt" o:ole="">
                  <v:imagedata r:id="rId80" o:title=""/>
                </v:shape>
                <o:OLEObject Type="Embed" ProgID="Equation.3" ShapeID="_x0000_i1074" DrawAspect="Content" ObjectID="_1657093262"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66" type="#_x0000_t75" style="width:12.65pt;height:18.45pt" o:ole="">
            <v:imagedata r:id="rId44" o:title=""/>
          </v:shape>
          <o:OLEObject Type="Embed" ProgID="Equation.3" ShapeID="_x0000_i1066" DrawAspect="Content" ObjectID="_1657093263" r:id="rId82"/>
        </w:object>
      </w:r>
      <w:r w:rsidRPr="00207827">
        <w:rPr>
          <w:rFonts w:eastAsia="Batang"/>
          <w:color w:val="000000"/>
          <w:szCs w:val="24"/>
        </w:rPr>
        <w:t xml:space="preserve"> и </w:t>
      </w:r>
      <w:r w:rsidRPr="00207827">
        <w:rPr>
          <w:rFonts w:eastAsia="Batang"/>
          <w:color w:val="000000"/>
          <w:szCs w:val="24"/>
        </w:rPr>
        <w:object w:dxaOrig="840" w:dyaOrig="380">
          <v:shape id="_x0000_i1067" type="#_x0000_t75" style="width:42.6pt;height:17.3pt" o:ole="">
            <v:imagedata r:id="rId54" o:title=""/>
          </v:shape>
          <o:OLEObject Type="Embed" ProgID="Equation.3" ShapeID="_x0000_i1067" DrawAspect="Content" ObjectID="_1657093264"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0" w:name="Par165"/>
      <w:bookmarkEnd w:id="0"/>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lastRenderedPageBreak/>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BF19B3"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lastRenderedPageBreak/>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BF19B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BF19B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BF19B3"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w:t>
      </w:r>
      <w:r w:rsidRPr="00B602F2">
        <w:rPr>
          <w:rFonts w:eastAsia="Calibri"/>
          <w:sz w:val="24"/>
          <w:szCs w:val="24"/>
          <w:lang w:eastAsia="en-US"/>
        </w:rPr>
        <w:lastRenderedPageBreak/>
        <w:t xml:space="preserve">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BF19B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BF19B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BF19B3"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BF19B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BF19B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w:t>
      </w:r>
      <w:r w:rsidRPr="00B602F2">
        <w:rPr>
          <w:rFonts w:eastAsia="Calibri"/>
          <w:sz w:val="24"/>
          <w:szCs w:val="24"/>
          <w:lang w:eastAsia="en-US"/>
        </w:rPr>
        <w:lastRenderedPageBreak/>
        <w:t>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BF19B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BF19B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BF19B3"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2AFB6BD" wp14:editId="6A025450">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68" type="#_x0000_t75" style="width:145.15pt;height:34.55pt" o:ole="">
            <v:imagedata r:id="rId85" o:title=""/>
          </v:shape>
          <o:OLEObject Type="Embed" ProgID="Equation.3" ShapeID="_x0000_i1068" DrawAspect="Content" ObjectID="_1657093265"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w:t>
      </w:r>
      <w:r w:rsidR="000A3671" w:rsidRPr="00D817A7">
        <w:rPr>
          <w:sz w:val="24"/>
          <w:szCs w:val="24"/>
        </w:rPr>
        <w:lastRenderedPageBreak/>
        <w:t>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BF19B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lastRenderedPageBreak/>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BF19B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BF19B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BF19B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BF19B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xml:space="preserve">), при этом «страной риска» </w:t>
      </w:r>
      <w:r w:rsidRPr="00B602F2">
        <w:rPr>
          <w:sz w:val="24"/>
          <w:szCs w:val="24"/>
        </w:rPr>
        <w:lastRenderedPageBreak/>
        <w:t>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lastRenderedPageBreak/>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BF19B3"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BF19B3"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BF19B3"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69" type="#_x0000_t75" style="width:145.15pt;height:34.55pt" o:ole="">
            <v:imagedata r:id="rId85" o:title=""/>
          </v:shape>
          <o:OLEObject Type="Embed" ProgID="Equation.3" ShapeID="_x0000_i1069" DrawAspect="Content" ObjectID="_1657093266"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lastRenderedPageBreak/>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lastRenderedPageBreak/>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BF19B3"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BF19B3"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F19B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0" type="#_x0000_t75" style="width:104.85pt;height:34.55pt" o:ole="">
            <v:imagedata r:id="rId92" o:title=""/>
          </v:shape>
          <o:OLEObject Type="Embed" ProgID="Equation.3" ShapeID="_x0000_i1070" DrawAspect="Content" ObjectID="_1657093267"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1" type="#_x0000_t75" style="width:13.25pt;height:19pt" o:ole="">
            <v:imagedata r:id="rId94" o:title=""/>
          </v:shape>
          <o:OLEObject Type="Embed" ProgID="Equation.3" ShapeID="_x0000_i1071" DrawAspect="Content" ObjectID="_1657093268"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2" type="#_x0000_t75" style="width:17.85pt;height:19pt" o:ole="">
            <v:imagedata r:id="rId96" o:title=""/>
          </v:shape>
          <o:OLEObject Type="Embed" ProgID="Equation.3" ShapeID="_x0000_i1072" DrawAspect="Content" ObjectID="_1657093269"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w:t>
      </w:r>
      <w:r w:rsidRPr="00E443D6">
        <w:rPr>
          <w:rFonts w:eastAsia="Batang"/>
          <w:color w:val="000000"/>
          <w:szCs w:val="24"/>
        </w:rPr>
        <w:lastRenderedPageBreak/>
        <w:t>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bookmarkStart w:id="1" w:name="_GoBack"/>
      <w:bookmarkEnd w:id="1"/>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BF19B3"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BF19B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w:t>
      </w:r>
      <w:r w:rsidR="0028663A" w:rsidRPr="00B602F2">
        <w:rPr>
          <w:rFonts w:eastAsia="Batang"/>
          <w:color w:val="000000"/>
          <w:szCs w:val="24"/>
        </w:rPr>
        <w:lastRenderedPageBreak/>
        <w:t>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lastRenderedPageBreak/>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BF19B3"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BF19B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BF19B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BF19B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BF19B3"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w:lastRenderedPageBreak/>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BF19B3"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BF19B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BF19B3"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BF19B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BF19B3"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BF19B3"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BF19B3"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BF19B3"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BF19B3"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BF19B3"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lastRenderedPageBreak/>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BF19B3"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BF19B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lastRenderedPageBreak/>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BF19B3"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расчета СЧА просрочки контрагентом исполнения </w:t>
      </w:r>
      <w:r w:rsidRPr="006749DA">
        <w:rPr>
          <w:rFonts w:ascii="Times New Roman" w:hAnsi="Times New Roman"/>
          <w:sz w:val="24"/>
          <w:szCs w:val="24"/>
        </w:rPr>
        <w:lastRenderedPageBreak/>
        <w:t>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lastRenderedPageBreak/>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BF19B3"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w:t>
      </w:r>
      <w:r w:rsidRPr="006749DA">
        <w:rPr>
          <w:rFonts w:ascii="Times New Roman" w:hAnsi="Times New Roman"/>
          <w:sz w:val="24"/>
          <w:szCs w:val="24"/>
        </w:rPr>
        <w:lastRenderedPageBreak/>
        <w:t xml:space="preserve">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BF19B3"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BF19B3"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lastRenderedPageBreak/>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3" w:rsidRDefault="00BF19B3" w:rsidP="003830AE">
      <w:r>
        <w:separator/>
      </w:r>
    </w:p>
  </w:endnote>
  <w:endnote w:type="continuationSeparator" w:id="0">
    <w:p w:rsidR="00BF19B3" w:rsidRDefault="00BF19B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AF79E8">
      <w:rPr>
        <w:noProof/>
      </w:rPr>
      <w:t>36</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3" w:rsidRDefault="00BF19B3" w:rsidP="003830AE">
      <w:r>
        <w:separator/>
      </w:r>
    </w:p>
  </w:footnote>
  <w:footnote w:type="continuationSeparator" w:id="0">
    <w:p w:rsidR="00BF19B3" w:rsidRDefault="00BF19B3"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E554-AE30-47EC-835F-1A11F017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19736</Words>
  <Characters>112497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4</cp:revision>
  <cp:lastPrinted>2019-12-04T10:13:00Z</cp:lastPrinted>
  <dcterms:created xsi:type="dcterms:W3CDTF">2020-07-24T07:36:00Z</dcterms:created>
  <dcterms:modified xsi:type="dcterms:W3CDTF">2020-07-24T07:52:00Z</dcterms:modified>
</cp:coreProperties>
</file>